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jc w:val="center"/>
        <w:rPr>
          <w:b w:val="1"/>
          <w:bCs w:val="1"/>
          <w:sz w:val="48"/>
          <w:szCs w:val="48"/>
          <w:shd w:fill="ffe599" w:val="clear"/>
        </w:rPr>
      </w:pPr>
      <w:bookmarkStart w:colFirst="0" w:colLast="0" w:name="_3znysh7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Demo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Call Playbook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See: </w:t>
            </w: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The Founder's Guide to Demo Calls That Win Deals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2"/>
        <w:widowControl w:val="0"/>
        <w:spacing w:line="240" w:lineRule="auto"/>
        <w:rPr>
          <w:b w:val="1"/>
          <w:bCs w:val="1"/>
          <w:sz w:val="36"/>
          <w:szCs w:val="36"/>
          <w:highlight w:val="yellow"/>
        </w:rPr>
      </w:pPr>
      <w:bookmarkStart w:colFirst="0" w:colLast="0" w:name="_2et92p0" w:id="1"/>
      <w:bookmarkEnd w:id="1"/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1. Discovery Questions (10-15 mins)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 &lt;name&gt;! Thank you for taking the time to connect with me. </w:t>
      </w:r>
    </w:p>
    <w:p w:rsidR="00000000" w:rsidDel="00000000" w:rsidP="00000000" w:rsidRDefault="00000000" w:rsidRPr="00000000" w14:paraId="0000000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Opening Statement:</w:t>
      </w:r>
      <w:r w:rsidDel="00000000" w:rsidR="00000000" w:rsidRPr="00000000">
        <w:rPr>
          <w:sz w:val="28"/>
          <w:szCs w:val="28"/>
          <w:rtl w:val="0"/>
        </w:rPr>
        <w:t xml:space="preserve"> Would love to learn more about what interested you in booking the call and to see if </w:t>
      </w:r>
      <w:r w:rsidDel="00000000" w:rsidR="00000000" w:rsidRPr="00000000">
        <w:rPr>
          <w:i w:val="1"/>
          <w:iCs w:val="1"/>
          <w:sz w:val="28"/>
          <w:szCs w:val="28"/>
          <w:shd w:fill="fff2cc" w:val="clear"/>
          <w:rtl w:val="0"/>
        </w:rPr>
        <w:t xml:space="preserve">&lt;your company&gt;</w:t>
      </w:r>
      <w:r w:rsidDel="00000000" w:rsidR="00000000" w:rsidRPr="00000000">
        <w:rPr>
          <w:sz w:val="28"/>
          <w:szCs w:val="28"/>
          <w:rtl w:val="0"/>
        </w:rPr>
        <w:t xml:space="preserve"> would be a good fit for you.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&lt;pause&gt;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>
          <w:b w:val="1"/>
          <w:bCs w:val="1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ARQ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4"/>
              <w:keepNext w:val="0"/>
              <w:keepLines w:val="0"/>
              <w:shd w:fill="ffffff" w:val="clear"/>
              <w:spacing w:after="160" w:before="0" w:lineRule="auto"/>
              <w:rPr>
                <w:b w:val="1"/>
                <w:bCs w:val="1"/>
                <w:color w:val="464646"/>
                <w:sz w:val="20"/>
                <w:szCs w:val="20"/>
              </w:rPr>
            </w:pPr>
            <w:bookmarkStart w:colFirst="0" w:colLast="0" w:name="_2xuqeenxxoga" w:id="2"/>
            <w:bookmarkEnd w:id="2"/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30303"/>
                <w:sz w:val="27"/>
                <w:szCs w:val="27"/>
                <w:rtl w:val="0"/>
              </w:rPr>
              <w:t xml:space="preserve">A – Affirm/Acknowledge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4"/>
              <w:keepNext w:val="0"/>
              <w:keepLines w:val="0"/>
              <w:shd w:fill="ffffff" w:val="clear"/>
              <w:spacing w:after="160" w:before="0" w:lineRule="auto"/>
              <w:jc w:val="both"/>
              <w:rPr>
                <w:rFonts w:ascii="Playfair Display" w:cs="Playfair Display" w:eastAsia="Playfair Display" w:hAnsi="Playfair Display"/>
                <w:b w:val="1"/>
                <w:bCs w:val="1"/>
                <w:color w:val="030303"/>
                <w:sz w:val="27"/>
                <w:szCs w:val="27"/>
              </w:rPr>
            </w:pPr>
            <w:bookmarkStart w:colFirst="0" w:colLast="0" w:name="_q5ywcpowmfk" w:id="3"/>
            <w:bookmarkEnd w:id="3"/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30303"/>
                <w:sz w:val="27"/>
                <w:szCs w:val="27"/>
                <w:rtl w:val="0"/>
              </w:rPr>
              <w:t xml:space="preserve">R – Repeat</w:t>
            </w:r>
          </w:p>
          <w:p w:rsidR="00000000" w:rsidDel="00000000" w:rsidP="00000000" w:rsidRDefault="00000000" w:rsidRPr="00000000" w14:paraId="0000000E">
            <w:pPr>
              <w:pStyle w:val="Heading4"/>
              <w:keepNext w:val="0"/>
              <w:keepLines w:val="0"/>
              <w:shd w:fill="ffffff" w:val="clear"/>
              <w:spacing w:after="160" w:before="0" w:lineRule="auto"/>
              <w:jc w:val="both"/>
              <w:rPr>
                <w:rFonts w:ascii="Playfair Display" w:cs="Playfair Display" w:eastAsia="Playfair Display" w:hAnsi="Playfair Display"/>
                <w:b w:val="1"/>
                <w:bCs w:val="1"/>
                <w:color w:val="030303"/>
                <w:sz w:val="27"/>
                <w:szCs w:val="27"/>
              </w:rPr>
            </w:pPr>
            <w:bookmarkStart w:colFirst="0" w:colLast="0" w:name="_bc6gu5t6vh6i" w:id="4"/>
            <w:bookmarkEnd w:id="4"/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30303"/>
                <w:sz w:val="27"/>
                <w:szCs w:val="27"/>
                <w:rtl w:val="0"/>
              </w:rPr>
              <w:t xml:space="preserve">Q – Question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See: </w:t>
            </w:r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The ARQ Method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Possible 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b w:val="1"/>
          <w:bCs w:val="1"/>
          <w:sz w:val="32"/>
          <w:szCs w:val="32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2. Transition (30-60 secs)</w:t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  <w:sz w:val="32"/>
          <w:szCs w:val="32"/>
          <w:shd w:fill="ffe599" w:val="clear"/>
        </w:rPr>
      </w:pPr>
      <w:r w:rsidDel="00000000" w:rsidR="00000000" w:rsidRPr="00000000">
        <w:rPr>
          <w:sz w:val="28"/>
          <w:szCs w:val="28"/>
          <w:rtl w:val="0"/>
        </w:rPr>
        <w:t xml:space="preserve">It seems like you could be a great fit. Before we get into the Demo, I’ll walk you through a deck with a high level overview of the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widowControl w:val="0"/>
        <w:spacing w:line="240" w:lineRule="auto"/>
        <w:rPr>
          <w:b w:val="1"/>
          <w:bCs w:val="1"/>
          <w:sz w:val="36"/>
          <w:szCs w:val="36"/>
          <w:highlight w:val="yellow"/>
        </w:rPr>
      </w:pPr>
      <w:bookmarkStart w:colFirst="0" w:colLast="0" w:name="_so0rq8qx4jp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widowControl w:val="0"/>
        <w:spacing w:line="240" w:lineRule="auto"/>
        <w:rPr>
          <w:highlight w:val="yellow"/>
        </w:rPr>
      </w:pPr>
      <w:bookmarkStart w:colFirst="0" w:colLast="0" w:name="_pzlayeu0liwn" w:id="6"/>
      <w:bookmarkEnd w:id="6"/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3. Demo Deck (10-15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widowControl w:val="0"/>
        <w:spacing w:line="240" w:lineRule="auto"/>
        <w:rPr>
          <w:b w:val="1"/>
          <w:bCs w:val="1"/>
          <w:sz w:val="36"/>
          <w:szCs w:val="36"/>
          <w:highlight w:val="yellow"/>
        </w:rPr>
      </w:pPr>
      <w:bookmarkStart w:colFirst="0" w:colLast="0" w:name="_f8qqkxosz68w" w:id="7"/>
      <w:bookmarkEnd w:id="7"/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4. Demo (20 mins)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widowControl w:val="0"/>
        <w:spacing w:line="240" w:lineRule="auto"/>
        <w:rPr/>
      </w:pPr>
      <w:bookmarkStart w:colFirst="0" w:colLast="0" w:name="_7badgr23xx3c" w:id="8"/>
      <w:bookmarkEnd w:id="8"/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5. Next Steps (5-10mins)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  <w:bCs w:val="1"/>
          <w:sz w:val="32"/>
          <w:szCs w:val="32"/>
          <w:shd w:fill="ffe599" w:val="clear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90663" cy="33522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0663" cy="3352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wsales.com/founders-guide-to-demo-calls/" TargetMode="External"/><Relationship Id="rId7" Type="http://schemas.openxmlformats.org/officeDocument/2006/relationships/hyperlink" Target="https://twsales.com/the-arq-method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